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4B6D3" w14:textId="77777777" w:rsidR="001B2105" w:rsidRDefault="001B2105" w:rsidP="001B2105">
      <w:pPr>
        <w:shd w:val="clear" w:color="auto" w:fill="FFFFFF"/>
        <w:spacing w:after="270" w:line="315" w:lineRule="atLeast"/>
        <w:rPr>
          <w:rFonts w:ascii="Arial" w:eastAsia="Times New Roman" w:hAnsi="Arial" w:cs="Arial"/>
          <w:b/>
          <w:bCs/>
          <w:color w:val="000000"/>
          <w:sz w:val="26"/>
          <w:szCs w:val="26"/>
          <w:lang w:eastAsia="nl-NL"/>
        </w:rPr>
      </w:pPr>
    </w:p>
    <w:p w14:paraId="78767A8A" w14:textId="77777777" w:rsidR="001B2105" w:rsidRDefault="001B2105" w:rsidP="001B2105">
      <w:pPr>
        <w:shd w:val="clear" w:color="auto" w:fill="FFFFFF"/>
        <w:spacing w:after="270" w:line="315" w:lineRule="atLeast"/>
        <w:rPr>
          <w:rFonts w:ascii="Arial" w:eastAsia="Times New Roman" w:hAnsi="Arial" w:cs="Arial"/>
          <w:b/>
          <w:bCs/>
          <w:color w:val="000000"/>
          <w:sz w:val="26"/>
          <w:szCs w:val="26"/>
          <w:lang w:eastAsia="nl-NL"/>
        </w:rPr>
      </w:pPr>
    </w:p>
    <w:p w14:paraId="744801AE" w14:textId="77777777" w:rsidR="001B2105" w:rsidRPr="001B2105" w:rsidRDefault="001B2105" w:rsidP="001B2105">
      <w:pPr>
        <w:shd w:val="clear" w:color="auto" w:fill="FFFFFF"/>
        <w:spacing w:before="150" w:after="270" w:line="570" w:lineRule="atLeast"/>
        <w:outlineLvl w:val="0"/>
        <w:rPr>
          <w:rFonts w:ascii="Verdana" w:eastAsia="Times New Roman" w:hAnsi="Verdana" w:cs="Times New Roman"/>
          <w:b/>
          <w:bCs/>
          <w:color w:val="000000"/>
          <w:kern w:val="36"/>
          <w:sz w:val="45"/>
          <w:szCs w:val="45"/>
          <w:lang w:eastAsia="nl-NL"/>
        </w:rPr>
      </w:pPr>
      <w:r w:rsidRPr="001B2105">
        <w:rPr>
          <w:rFonts w:ascii="Verdana" w:eastAsia="Times New Roman" w:hAnsi="Verdana" w:cs="Times New Roman"/>
          <w:b/>
          <w:bCs/>
          <w:color w:val="000000"/>
          <w:kern w:val="36"/>
          <w:sz w:val="45"/>
          <w:szCs w:val="45"/>
          <w:lang w:eastAsia="nl-NL"/>
        </w:rPr>
        <w:t>NVWA wordt strenger: minder waarschuwingen, snellere maatregelen</w:t>
      </w:r>
      <w:bookmarkStart w:id="0" w:name="_GoBack"/>
      <w:bookmarkEnd w:id="0"/>
    </w:p>
    <w:p w14:paraId="097572AA" w14:textId="77777777" w:rsidR="001B2105" w:rsidRPr="001B2105" w:rsidRDefault="001B2105" w:rsidP="001B2105">
      <w:pPr>
        <w:shd w:val="clear" w:color="auto" w:fill="FFFFFF"/>
        <w:spacing w:after="270" w:line="315" w:lineRule="atLeast"/>
        <w:rPr>
          <w:rFonts w:ascii="Arial" w:eastAsia="Times New Roman" w:hAnsi="Arial" w:cs="Arial"/>
          <w:color w:val="000000"/>
          <w:sz w:val="23"/>
          <w:szCs w:val="23"/>
          <w:lang w:eastAsia="nl-NL"/>
        </w:rPr>
      </w:pPr>
      <w:r w:rsidRPr="001B2105">
        <w:rPr>
          <w:rFonts w:ascii="Arial" w:eastAsia="Times New Roman" w:hAnsi="Arial" w:cs="Arial"/>
          <w:b/>
          <w:bCs/>
          <w:color w:val="000000"/>
          <w:sz w:val="26"/>
          <w:szCs w:val="26"/>
          <w:lang w:eastAsia="nl-NL"/>
        </w:rPr>
        <w:t xml:space="preserve">De Nederlandse Voedsel en Waren Autoriteit (NVWA) krijgt een andere </w:t>
      </w:r>
      <w:proofErr w:type="spellStart"/>
      <w:r w:rsidRPr="001B2105">
        <w:rPr>
          <w:rFonts w:ascii="Arial" w:eastAsia="Times New Roman" w:hAnsi="Arial" w:cs="Arial"/>
          <w:b/>
          <w:bCs/>
          <w:color w:val="000000"/>
          <w:sz w:val="26"/>
          <w:szCs w:val="26"/>
          <w:lang w:eastAsia="nl-NL"/>
        </w:rPr>
        <w:t>toezichtsaanpak</w:t>
      </w:r>
      <w:proofErr w:type="spellEnd"/>
      <w:r w:rsidRPr="001B2105">
        <w:rPr>
          <w:rFonts w:ascii="Arial" w:eastAsia="Times New Roman" w:hAnsi="Arial" w:cs="Arial"/>
          <w:b/>
          <w:bCs/>
          <w:color w:val="000000"/>
          <w:sz w:val="26"/>
          <w:szCs w:val="26"/>
          <w:lang w:eastAsia="nl-NL"/>
        </w:rPr>
        <w:t xml:space="preserve"> en een ander interventiebeleid: eenduidiger en stringenter. De voedselautoriteit kan hierdoor ook makkelijker hogere boetes opleggen.</w:t>
      </w:r>
    </w:p>
    <w:p w14:paraId="79BCA05F" w14:textId="77777777" w:rsidR="001B2105" w:rsidRPr="001B2105" w:rsidRDefault="001B2105" w:rsidP="001B2105">
      <w:pPr>
        <w:shd w:val="clear" w:color="auto" w:fill="FFFFFF"/>
        <w:spacing w:after="270" w:line="315" w:lineRule="atLeast"/>
        <w:rPr>
          <w:rFonts w:ascii="Arial" w:eastAsia="Times New Roman" w:hAnsi="Arial" w:cs="Arial"/>
          <w:color w:val="000000"/>
          <w:sz w:val="23"/>
          <w:szCs w:val="23"/>
          <w:lang w:eastAsia="nl-NL"/>
        </w:rPr>
      </w:pPr>
      <w:r w:rsidRPr="001B2105">
        <w:rPr>
          <w:rFonts w:ascii="Arial" w:eastAsia="Times New Roman" w:hAnsi="Arial" w:cs="Arial"/>
          <w:color w:val="000000"/>
          <w:sz w:val="23"/>
          <w:szCs w:val="23"/>
          <w:lang w:eastAsia="nl-NL"/>
        </w:rPr>
        <w:t>Uitgangspunt van dit beleid is een duidelijkere en stringentere handhaving. De [NVWA][2] stelt dat ze op eenduidige en transparante manier zal interveniëren. Streng doch rechtvaardig opdat “bedrijven weten waar ze aan toe zijn.”</w:t>
      </w:r>
    </w:p>
    <w:p w14:paraId="54615AB1" w14:textId="77777777" w:rsidR="001B2105" w:rsidRPr="001B2105" w:rsidRDefault="001B2105" w:rsidP="001B2105">
      <w:pPr>
        <w:shd w:val="clear" w:color="auto" w:fill="FFFFFF"/>
        <w:spacing w:after="270" w:line="315" w:lineRule="atLeast"/>
        <w:rPr>
          <w:rFonts w:ascii="Arial" w:eastAsia="Times New Roman" w:hAnsi="Arial" w:cs="Arial"/>
          <w:color w:val="000000"/>
          <w:sz w:val="23"/>
          <w:szCs w:val="23"/>
          <w:lang w:eastAsia="nl-NL"/>
        </w:rPr>
      </w:pPr>
      <w:r w:rsidRPr="001B2105">
        <w:rPr>
          <w:rFonts w:ascii="Arial" w:eastAsia="Times New Roman" w:hAnsi="Arial" w:cs="Arial"/>
          <w:color w:val="000000"/>
          <w:sz w:val="23"/>
          <w:szCs w:val="23"/>
          <w:lang w:eastAsia="nl-NL"/>
        </w:rPr>
        <w:t>Het strengere en uniformere interventiebeleid van de NVWA komt voort uit de wens van de Tweede Kamer. De NVWA voert de aanpak in de organisatie in met een overgangstermijn van uiterlijk 1 april 2017.</w:t>
      </w:r>
    </w:p>
    <w:p w14:paraId="35E10DA5" w14:textId="77777777" w:rsidR="001B2105" w:rsidRPr="001B2105" w:rsidRDefault="001B2105" w:rsidP="001B2105">
      <w:pPr>
        <w:shd w:val="clear" w:color="auto" w:fill="FFFFFF"/>
        <w:spacing w:after="30" w:line="390" w:lineRule="atLeast"/>
        <w:outlineLvl w:val="2"/>
        <w:rPr>
          <w:rFonts w:ascii="Verdana" w:eastAsia="Times New Roman" w:hAnsi="Verdana" w:cs="Times New Roman"/>
          <w:b/>
          <w:bCs/>
          <w:color w:val="000000"/>
          <w:sz w:val="32"/>
          <w:szCs w:val="32"/>
          <w:lang w:eastAsia="nl-NL"/>
        </w:rPr>
      </w:pPr>
      <w:r w:rsidRPr="001B2105">
        <w:rPr>
          <w:rFonts w:ascii="Verdana" w:eastAsia="Times New Roman" w:hAnsi="Verdana" w:cs="Times New Roman"/>
          <w:b/>
          <w:bCs/>
          <w:color w:val="000000"/>
          <w:sz w:val="32"/>
          <w:szCs w:val="32"/>
          <w:lang w:eastAsia="nl-NL"/>
        </w:rPr>
        <w:t>Minder waarschuwingen</w:t>
      </w:r>
    </w:p>
    <w:p w14:paraId="15D54883" w14:textId="77777777" w:rsidR="001B2105" w:rsidRPr="001B2105" w:rsidRDefault="001B2105" w:rsidP="001B2105">
      <w:pPr>
        <w:shd w:val="clear" w:color="auto" w:fill="FFFFFF"/>
        <w:spacing w:after="270" w:line="315" w:lineRule="atLeast"/>
        <w:rPr>
          <w:rFonts w:ascii="Arial" w:eastAsia="Times New Roman" w:hAnsi="Arial" w:cs="Arial"/>
          <w:color w:val="000000"/>
          <w:sz w:val="23"/>
          <w:szCs w:val="23"/>
          <w:lang w:eastAsia="nl-NL"/>
        </w:rPr>
      </w:pPr>
      <w:r w:rsidRPr="001B2105">
        <w:rPr>
          <w:rFonts w:ascii="Arial" w:eastAsia="Times New Roman" w:hAnsi="Arial" w:cs="Arial"/>
          <w:color w:val="000000"/>
          <w:sz w:val="23"/>
          <w:szCs w:val="23"/>
          <w:lang w:eastAsia="nl-NL"/>
        </w:rPr>
        <w:t>Zo bevat het interventiebeleid eenduidige afspraken over termijnen, wijze van waarschuwen en stapeling van overtredingen. Het begrip herhaalde overtreding is losgekoppeld van recidive. Dit kan in de praktijk leiden tot minder waarschuwen en sneller overgaan tot het opmaken van een rapport van bevindingen (bestuursrecht) of een proces-verbaal (strafrecht).</w:t>
      </w:r>
    </w:p>
    <w:p w14:paraId="324B8DB3" w14:textId="77777777" w:rsidR="001B2105" w:rsidRPr="001B2105" w:rsidRDefault="001B2105" w:rsidP="001B2105">
      <w:pPr>
        <w:shd w:val="clear" w:color="auto" w:fill="FFFFFF"/>
        <w:spacing w:after="30" w:line="390" w:lineRule="atLeast"/>
        <w:outlineLvl w:val="2"/>
        <w:rPr>
          <w:rFonts w:ascii="Verdana" w:eastAsia="Times New Roman" w:hAnsi="Verdana" w:cs="Times New Roman"/>
          <w:b/>
          <w:bCs/>
          <w:color w:val="000000"/>
          <w:sz w:val="32"/>
          <w:szCs w:val="32"/>
          <w:lang w:eastAsia="nl-NL"/>
        </w:rPr>
      </w:pPr>
      <w:r w:rsidRPr="001B2105">
        <w:rPr>
          <w:rFonts w:ascii="Verdana" w:eastAsia="Times New Roman" w:hAnsi="Verdana" w:cs="Times New Roman"/>
          <w:b/>
          <w:bCs/>
          <w:color w:val="000000"/>
          <w:sz w:val="32"/>
          <w:szCs w:val="32"/>
          <w:lang w:eastAsia="nl-NL"/>
        </w:rPr>
        <w:t>NVWA-inspecteurs</w:t>
      </w:r>
    </w:p>
    <w:p w14:paraId="1787EA24" w14:textId="77777777" w:rsidR="001B2105" w:rsidRPr="001B2105" w:rsidRDefault="001B2105" w:rsidP="001B2105">
      <w:pPr>
        <w:shd w:val="clear" w:color="auto" w:fill="FFFFFF"/>
        <w:spacing w:after="270" w:line="315" w:lineRule="atLeast"/>
        <w:rPr>
          <w:rFonts w:ascii="Arial" w:eastAsia="Times New Roman" w:hAnsi="Arial" w:cs="Arial"/>
          <w:color w:val="000000"/>
          <w:sz w:val="23"/>
          <w:szCs w:val="23"/>
          <w:lang w:eastAsia="nl-NL"/>
        </w:rPr>
      </w:pPr>
      <w:r w:rsidRPr="001B2105">
        <w:rPr>
          <w:rFonts w:ascii="Arial" w:eastAsia="Times New Roman" w:hAnsi="Arial" w:cs="Arial"/>
          <w:color w:val="000000"/>
          <w:sz w:val="23"/>
          <w:szCs w:val="23"/>
          <w:lang w:eastAsia="nl-NL"/>
        </w:rPr>
        <w:t>De positie van de inspecteur verandert door de nieuwe aanpak. Hij zal zich richten op het constateren van feiten en omstandigheden, niet op sanctionering. Dit om zijn onafhankelijke positie te waarborgen.</w:t>
      </w:r>
    </w:p>
    <w:p w14:paraId="542E1FF3" w14:textId="77777777" w:rsidR="001B2105" w:rsidRPr="001B2105" w:rsidRDefault="001B2105" w:rsidP="001B2105">
      <w:pPr>
        <w:shd w:val="clear" w:color="auto" w:fill="FFFFFF"/>
        <w:spacing w:after="270" w:line="315" w:lineRule="atLeast"/>
        <w:rPr>
          <w:rFonts w:ascii="Arial" w:eastAsia="Times New Roman" w:hAnsi="Arial" w:cs="Arial"/>
          <w:color w:val="000000"/>
          <w:sz w:val="23"/>
          <w:szCs w:val="23"/>
          <w:lang w:eastAsia="nl-NL"/>
        </w:rPr>
      </w:pPr>
      <w:r w:rsidRPr="001B2105">
        <w:rPr>
          <w:rFonts w:ascii="Arial" w:eastAsia="Times New Roman" w:hAnsi="Arial" w:cs="Arial"/>
          <w:color w:val="000000"/>
          <w:sz w:val="23"/>
          <w:szCs w:val="23"/>
          <w:lang w:eastAsia="nl-NL"/>
        </w:rPr>
        <w:t>Verscherpt toezicht maakt in het vervolg deel uit van het permanente toezicht van het algemene interventiebeleid.</w:t>
      </w:r>
    </w:p>
    <w:p w14:paraId="088C81F3" w14:textId="77777777" w:rsidR="001B2105" w:rsidRPr="001B2105" w:rsidRDefault="001B2105" w:rsidP="001B2105">
      <w:pPr>
        <w:shd w:val="clear" w:color="auto" w:fill="FFFFFF"/>
        <w:spacing w:after="30" w:line="390" w:lineRule="atLeast"/>
        <w:outlineLvl w:val="2"/>
        <w:rPr>
          <w:rFonts w:ascii="Verdana" w:eastAsia="Times New Roman" w:hAnsi="Verdana" w:cs="Times New Roman"/>
          <w:b/>
          <w:bCs/>
          <w:color w:val="000000"/>
          <w:sz w:val="32"/>
          <w:szCs w:val="32"/>
          <w:lang w:eastAsia="nl-NL"/>
        </w:rPr>
      </w:pPr>
      <w:r w:rsidRPr="001B2105">
        <w:rPr>
          <w:rFonts w:ascii="Verdana" w:eastAsia="Times New Roman" w:hAnsi="Verdana" w:cs="Times New Roman"/>
          <w:b/>
          <w:bCs/>
          <w:color w:val="000000"/>
          <w:sz w:val="32"/>
          <w:szCs w:val="32"/>
          <w:lang w:eastAsia="nl-NL"/>
        </w:rPr>
        <w:t>Risico’s voedselveiligheid</w:t>
      </w:r>
    </w:p>
    <w:p w14:paraId="1162047F" w14:textId="77777777" w:rsidR="001B2105" w:rsidRPr="001B2105" w:rsidRDefault="001B2105" w:rsidP="001B2105">
      <w:pPr>
        <w:shd w:val="clear" w:color="auto" w:fill="FFFFFF"/>
        <w:spacing w:after="270" w:line="315" w:lineRule="atLeast"/>
        <w:rPr>
          <w:rFonts w:ascii="Arial" w:eastAsia="Times New Roman" w:hAnsi="Arial" w:cs="Arial"/>
          <w:color w:val="000000"/>
          <w:sz w:val="23"/>
          <w:szCs w:val="23"/>
          <w:lang w:eastAsia="nl-NL"/>
        </w:rPr>
      </w:pPr>
      <w:r w:rsidRPr="001B2105">
        <w:rPr>
          <w:rFonts w:ascii="Arial" w:eastAsia="Times New Roman" w:hAnsi="Arial" w:cs="Arial"/>
          <w:color w:val="000000"/>
          <w:sz w:val="23"/>
          <w:szCs w:val="23"/>
          <w:lang w:eastAsia="nl-NL"/>
        </w:rPr>
        <w:t>Ook de kwalificatie van de overtredingen zal de NVWA opnieuw bezien. Daarbij hoort het heroverwegen van het ingeschatte risico per overtreding. Gaf de voedselautoriteit eerder alleen een waarschuwing nu volgt direct een ‘rapport van bevindingen’ of zelfs een bestuurlijke maatregel.</w:t>
      </w:r>
    </w:p>
    <w:p w14:paraId="78533EF8" w14:textId="77777777" w:rsidR="001B2105" w:rsidRPr="001B2105" w:rsidRDefault="001B2105" w:rsidP="001B2105">
      <w:pPr>
        <w:shd w:val="clear" w:color="auto" w:fill="FFFFFF"/>
        <w:spacing w:after="30" w:line="390" w:lineRule="atLeast"/>
        <w:outlineLvl w:val="2"/>
        <w:rPr>
          <w:rFonts w:ascii="Verdana" w:eastAsia="Times New Roman" w:hAnsi="Verdana" w:cs="Times New Roman"/>
          <w:b/>
          <w:bCs/>
          <w:color w:val="000000"/>
          <w:sz w:val="32"/>
          <w:szCs w:val="32"/>
          <w:lang w:eastAsia="nl-NL"/>
        </w:rPr>
      </w:pPr>
      <w:r w:rsidRPr="001B2105">
        <w:rPr>
          <w:rFonts w:ascii="Verdana" w:eastAsia="Times New Roman" w:hAnsi="Verdana" w:cs="Times New Roman"/>
          <w:b/>
          <w:bCs/>
          <w:color w:val="000000"/>
          <w:sz w:val="32"/>
          <w:szCs w:val="32"/>
          <w:lang w:eastAsia="nl-NL"/>
        </w:rPr>
        <w:lastRenderedPageBreak/>
        <w:t>Hoge boetes</w:t>
      </w:r>
    </w:p>
    <w:p w14:paraId="2CA3B132" w14:textId="77777777" w:rsidR="001B2105" w:rsidRPr="001B2105" w:rsidRDefault="001B2105" w:rsidP="001B2105">
      <w:pPr>
        <w:shd w:val="clear" w:color="auto" w:fill="FFFFFF"/>
        <w:spacing w:after="270" w:line="315" w:lineRule="atLeast"/>
        <w:rPr>
          <w:rFonts w:ascii="Arial" w:eastAsia="Times New Roman" w:hAnsi="Arial" w:cs="Arial"/>
          <w:color w:val="000000"/>
          <w:sz w:val="23"/>
          <w:szCs w:val="23"/>
          <w:lang w:eastAsia="nl-NL"/>
        </w:rPr>
      </w:pPr>
      <w:r w:rsidRPr="001B2105">
        <w:rPr>
          <w:rFonts w:ascii="Arial" w:eastAsia="Times New Roman" w:hAnsi="Arial" w:cs="Arial"/>
          <w:color w:val="000000"/>
          <w:sz w:val="23"/>
          <w:szCs w:val="23"/>
          <w:lang w:eastAsia="nl-NL"/>
        </w:rPr>
        <w:t>De strengere en eenduidigere aanpak, maakt het mogelijk om direct hogere boetes op te leggen. Het gaat dan om overtredingen van de </w:t>
      </w:r>
      <w:hyperlink r:id="rId4" w:history="1">
        <w:r w:rsidRPr="001B2105">
          <w:rPr>
            <w:rFonts w:ascii="Arial" w:eastAsia="Times New Roman" w:hAnsi="Arial" w:cs="Arial"/>
            <w:color w:val="336699"/>
            <w:sz w:val="23"/>
            <w:szCs w:val="23"/>
            <w:u w:val="single"/>
            <w:lang w:eastAsia="nl-NL"/>
          </w:rPr>
          <w:t>Wet dieren</w:t>
        </w:r>
      </w:hyperlink>
      <w:r w:rsidRPr="001B2105">
        <w:rPr>
          <w:rFonts w:ascii="Arial" w:eastAsia="Times New Roman" w:hAnsi="Arial" w:cs="Arial"/>
          <w:color w:val="000000"/>
          <w:sz w:val="23"/>
          <w:szCs w:val="23"/>
          <w:lang w:eastAsia="nl-NL"/>
        </w:rPr>
        <w:t>. Nu geldt een maximum boete van €20.000, die zal straks €820.000 of 10% van de jaaromzet (bij een omzet meer dan €8,2 miljoen).</w:t>
      </w:r>
    </w:p>
    <w:p w14:paraId="1ED1A3CE" w14:textId="77777777" w:rsidR="001B2105" w:rsidRPr="001B2105" w:rsidRDefault="001B2105" w:rsidP="001B2105">
      <w:pPr>
        <w:shd w:val="clear" w:color="auto" w:fill="FFFFFF"/>
        <w:spacing w:after="270" w:line="315" w:lineRule="atLeast"/>
        <w:rPr>
          <w:rFonts w:ascii="Arial" w:eastAsia="Times New Roman" w:hAnsi="Arial" w:cs="Arial"/>
          <w:color w:val="000000"/>
          <w:sz w:val="23"/>
          <w:szCs w:val="23"/>
          <w:lang w:eastAsia="nl-NL"/>
        </w:rPr>
      </w:pPr>
      <w:r w:rsidRPr="001B2105">
        <w:rPr>
          <w:rFonts w:ascii="Arial" w:eastAsia="Times New Roman" w:hAnsi="Arial" w:cs="Arial"/>
          <w:color w:val="000000"/>
          <w:sz w:val="23"/>
          <w:szCs w:val="23"/>
          <w:lang w:eastAsia="nl-NL"/>
        </w:rPr>
        <w:t>De maximumboete van €820.000 bestond al, maar het was alleen niet eerder mogelijk om deze daadwerkelijk op te leggen. Omdat de uitvoeringsregelgeving die bij de wet hoort aan elke overtreding een vast boetebedrag koppelt. Het gaat dan om bedragen tussen €500 en €10.000.</w:t>
      </w:r>
    </w:p>
    <w:p w14:paraId="6B85EB1A" w14:textId="77777777" w:rsidR="001B2105" w:rsidRPr="001B2105" w:rsidRDefault="001B2105" w:rsidP="001B2105">
      <w:pPr>
        <w:shd w:val="clear" w:color="auto" w:fill="FFFFFF"/>
        <w:spacing w:after="30" w:line="390" w:lineRule="atLeast"/>
        <w:outlineLvl w:val="2"/>
        <w:rPr>
          <w:rFonts w:ascii="Verdana" w:eastAsia="Times New Roman" w:hAnsi="Verdana" w:cs="Times New Roman"/>
          <w:b/>
          <w:bCs/>
          <w:color w:val="000000"/>
          <w:sz w:val="32"/>
          <w:szCs w:val="32"/>
          <w:lang w:eastAsia="nl-NL"/>
        </w:rPr>
      </w:pPr>
      <w:r w:rsidRPr="001B2105">
        <w:rPr>
          <w:rFonts w:ascii="Verdana" w:eastAsia="Times New Roman" w:hAnsi="Verdana" w:cs="Times New Roman"/>
          <w:b/>
          <w:bCs/>
          <w:color w:val="000000"/>
          <w:sz w:val="32"/>
          <w:szCs w:val="32"/>
          <w:lang w:eastAsia="nl-NL"/>
        </w:rPr>
        <w:t>Warenwet</w:t>
      </w:r>
    </w:p>
    <w:p w14:paraId="0B993969" w14:textId="77777777" w:rsidR="001B2105" w:rsidRPr="001B2105" w:rsidRDefault="001B2105" w:rsidP="001B2105">
      <w:pPr>
        <w:shd w:val="clear" w:color="auto" w:fill="FFFFFF"/>
        <w:spacing w:after="270" w:line="315" w:lineRule="atLeast"/>
        <w:rPr>
          <w:rFonts w:ascii="Arial" w:eastAsia="Times New Roman" w:hAnsi="Arial" w:cs="Arial"/>
          <w:color w:val="000000"/>
          <w:sz w:val="23"/>
          <w:szCs w:val="23"/>
          <w:lang w:eastAsia="nl-NL"/>
        </w:rPr>
      </w:pPr>
      <w:r w:rsidRPr="001B2105">
        <w:rPr>
          <w:rFonts w:ascii="Arial" w:eastAsia="Times New Roman" w:hAnsi="Arial" w:cs="Arial"/>
          <w:color w:val="000000"/>
          <w:sz w:val="23"/>
          <w:szCs w:val="23"/>
          <w:lang w:eastAsia="nl-NL"/>
        </w:rPr>
        <w:t>Maar de aanpassing van de ‘Warenwet bestuurlijke boeten’ maakt het mogelijk kan de NVWA bij overtredingen van de </w:t>
      </w:r>
      <w:hyperlink r:id="rId5" w:history="1">
        <w:r w:rsidRPr="001B2105">
          <w:rPr>
            <w:rFonts w:ascii="Arial" w:eastAsia="Times New Roman" w:hAnsi="Arial" w:cs="Arial"/>
            <w:color w:val="336699"/>
            <w:sz w:val="23"/>
            <w:szCs w:val="23"/>
            <w:u w:val="single"/>
            <w:lang w:eastAsia="nl-NL"/>
          </w:rPr>
          <w:t>Warenwet</w:t>
        </w:r>
      </w:hyperlink>
      <w:r w:rsidRPr="001B2105">
        <w:rPr>
          <w:rFonts w:ascii="Arial" w:eastAsia="Times New Roman" w:hAnsi="Arial" w:cs="Arial"/>
          <w:color w:val="000000"/>
          <w:sz w:val="23"/>
          <w:szCs w:val="23"/>
          <w:lang w:eastAsia="nl-NL"/>
        </w:rPr>
        <w:t xml:space="preserve"> een </w:t>
      </w:r>
      <w:proofErr w:type="spellStart"/>
      <w:r w:rsidRPr="001B2105">
        <w:rPr>
          <w:rFonts w:ascii="Arial" w:eastAsia="Times New Roman" w:hAnsi="Arial" w:cs="Arial"/>
          <w:color w:val="000000"/>
          <w:sz w:val="23"/>
          <w:szCs w:val="23"/>
          <w:lang w:eastAsia="nl-NL"/>
        </w:rPr>
        <w:t>omzetgerelateerde</w:t>
      </w:r>
      <w:proofErr w:type="spellEnd"/>
      <w:r w:rsidRPr="001B2105">
        <w:rPr>
          <w:rFonts w:ascii="Arial" w:eastAsia="Times New Roman" w:hAnsi="Arial" w:cs="Arial"/>
          <w:color w:val="000000"/>
          <w:sz w:val="23"/>
          <w:szCs w:val="23"/>
          <w:lang w:eastAsia="nl-NL"/>
        </w:rPr>
        <w:t xml:space="preserve"> boete opleggen met een maximum van €820.000. Het bedrijf moet dan wel minimaal een omzet hebben van €10 miljoen. [2}: https://www.nvwa.nl/</w:t>
      </w:r>
    </w:p>
    <w:p w14:paraId="103C3974" w14:textId="77777777" w:rsidR="00D335D4" w:rsidRDefault="00D335D4"/>
    <w:sectPr w:rsidR="00D33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05"/>
    <w:rsid w:val="001B2105"/>
    <w:rsid w:val="00D335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CEC1"/>
  <w15:chartTrackingRefBased/>
  <w15:docId w15:val="{69698741-AB6A-4780-B739-38855189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52999">
      <w:bodyDiv w:val="1"/>
      <w:marLeft w:val="0"/>
      <w:marRight w:val="0"/>
      <w:marTop w:val="0"/>
      <w:marBottom w:val="0"/>
      <w:divBdr>
        <w:top w:val="none" w:sz="0" w:space="0" w:color="auto"/>
        <w:left w:val="none" w:sz="0" w:space="0" w:color="auto"/>
        <w:bottom w:val="none" w:sz="0" w:space="0" w:color="auto"/>
        <w:right w:val="none" w:sz="0" w:space="0" w:color="auto"/>
      </w:divBdr>
    </w:div>
    <w:div w:id="113995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tten.overheid.nl/BWBR0001969/2016-05-01" TargetMode="External"/><Relationship Id="rId4" Type="http://schemas.openxmlformats.org/officeDocument/2006/relationships/hyperlink" Target="http://wetten.overheid.nl/BWBR0030250/2015-02-0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brouwadvies</dc:creator>
  <cp:keywords/>
  <dc:description/>
  <cp:lastModifiedBy>brouwadvies</cp:lastModifiedBy>
  <cp:revision>1</cp:revision>
  <dcterms:created xsi:type="dcterms:W3CDTF">2016-07-22T10:32:00Z</dcterms:created>
  <dcterms:modified xsi:type="dcterms:W3CDTF">2016-07-22T10:33:00Z</dcterms:modified>
</cp:coreProperties>
</file>